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b/>
          <w:bCs/>
          <w:color w:val="auto"/>
          <w:lang w:val="sk-SK"/>
        </w:rPr>
      </w:pPr>
      <w:r w:rsidRPr="00910294">
        <w:rPr>
          <w:rFonts w:asciiTheme="minorHAnsi" w:hAnsiTheme="minorHAnsi" w:cs="Cambria"/>
          <w:b/>
          <w:bCs/>
          <w:color w:val="auto"/>
          <w:lang w:val="sk-SK"/>
        </w:rPr>
        <w:t xml:space="preserve">Podmienky pre získanie úplných odpustkov pri príležitosti mimoriadneho Svätého roka milosrdenstva pre pútnikov sú nasledovné: </w:t>
      </w: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Čo sú odpustky? </w:t>
      </w: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Odpustky sú odpustenie časného trestu pred Bohom za hriechy, ktoré sú už odpustené, čo sa týka viny. Odpustky dostane náležite pripravený veriaci v Krista za istých a stanovených podmienok pomocou Cirkvi, ktorá ako služobníčka vykúpenia svojou mocou rozdáva a aplikuje poklad zadosťučinení Krista a svätých. (Katechizmus Katolíckej Cirkvi, bod 1471) </w:t>
      </w: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I. Aby veriaci mohli pri príležitosti mimoriadneho Svätého roka milosrdenstva zažiť a dosiahnuť odpustky, musia na znak hlbokej túžby po obrátení uskutočniť nasledovné úkony: </w:t>
      </w: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910294">
      <w:pPr>
        <w:pStyle w:val="Default"/>
        <w:spacing w:after="53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1. Vykonať krátku púť k Svätej bráne otvorenej pri príležitosti mimoriadneho Svätého roku milosrdenstva, a prejsť ňou. Svätá brána sa nachádza na pápežských bazilikách v Ríme, na katedrálach, na bazilikách </w:t>
      </w:r>
      <w:proofErr w:type="spellStart"/>
      <w:r w:rsidRPr="00910294">
        <w:rPr>
          <w:rFonts w:asciiTheme="minorHAnsi" w:hAnsiTheme="minorHAnsi" w:cs="Cambria"/>
          <w:color w:val="auto"/>
          <w:lang w:val="sk-SK"/>
        </w:rPr>
        <w:t>minor</w:t>
      </w:r>
      <w:proofErr w:type="spellEnd"/>
      <w:r w:rsidRPr="00910294">
        <w:rPr>
          <w:rFonts w:asciiTheme="minorHAnsi" w:hAnsiTheme="minorHAnsi" w:cs="Cambria"/>
          <w:color w:val="auto"/>
          <w:lang w:val="sk-SK"/>
        </w:rPr>
        <w:t xml:space="preserve"> a určených pútnických kostoloch. </w:t>
      </w:r>
    </w:p>
    <w:p w:rsidR="00DA7082" w:rsidRPr="00910294" w:rsidRDefault="00DA7082" w:rsidP="00910294">
      <w:pPr>
        <w:pStyle w:val="Default"/>
        <w:spacing w:after="53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2. Pristúpiť k sviatosti zmierenia. Sviatosť zmierenia si možno vykonať v deň púte, ale aj pred ňou. </w:t>
      </w:r>
    </w:p>
    <w:p w:rsidR="00DA7082" w:rsidRPr="00910294" w:rsidRDefault="00DA7082" w:rsidP="00910294">
      <w:pPr>
        <w:pStyle w:val="Default"/>
        <w:spacing w:after="53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3. Byť na slávení svätej omše a prijať Najsvätejšiu eucharistiu. Svätá omša nech je spojená s reflexiou (homília, príhovor) nad milosrdenstvom. </w:t>
      </w:r>
    </w:p>
    <w:p w:rsidR="00DA7082" w:rsidRPr="00910294" w:rsidRDefault="00DA7082" w:rsidP="00910294">
      <w:pPr>
        <w:pStyle w:val="Default"/>
        <w:spacing w:after="53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4. Pomodliť sa Vyznanie viery – Verím v Boha. </w:t>
      </w:r>
    </w:p>
    <w:p w:rsidR="00DA7082" w:rsidRPr="00910294" w:rsidRDefault="00DA7082" w:rsidP="00910294">
      <w:pPr>
        <w:pStyle w:val="Default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5. Pomodliť sa (Otče náš, Zdravas Mária, Sláva Otcu) za Svätého Otca a na jeho úmysly, ktoré nosí v srdci pre dobro Cirkvi i celého sveta. </w:t>
      </w: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II. Aj chorí, starí a opustení, ktorí nie sú schopní vyjsť z domova, môžu získať odpustky a to tým, že: </w:t>
      </w: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910294">
      <w:pPr>
        <w:pStyle w:val="Default"/>
        <w:spacing w:after="51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1. Svoje utrpenie (choroba, akékoľvek utrpenie, samota atď.), ktoré je pre nich skúškou, budú prežívať s vierou a s radostnou nádejou vo vzkriesenom Pánovi. </w:t>
      </w:r>
    </w:p>
    <w:p w:rsidR="00DA7082" w:rsidRPr="00910294" w:rsidRDefault="00DA7082" w:rsidP="00910294">
      <w:pPr>
        <w:pStyle w:val="Default"/>
        <w:spacing w:after="51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2. Príjmu Najsvätejšiu eucharistiu. </w:t>
      </w:r>
    </w:p>
    <w:p w:rsidR="00DA7082" w:rsidRPr="00910294" w:rsidRDefault="00DA7082" w:rsidP="00910294">
      <w:pPr>
        <w:pStyle w:val="Default"/>
        <w:ind w:left="720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3. Budú účastní slávenia svätej omše, alebo spoločnej modlitby (napr. ruženec, Korunka Božieho milosrdenstva, liturgia hodín atď.), a to aj v prípade, že to bude pre nich možné len cez masovokomunikačné prostriedky (televízia, rozhlas, internet). </w:t>
      </w: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III. Všetci veriaci môžu dosiahnuť odpustky mimoriadneho Svätého roka, ak budú konať skutky telesného a duchovného milosrdenstva. Odpustky môže získať veriaci, keď sám vykoná jeden, alebo viac skutkov telesného, či duchovného milosrdenstva. Príloha obežníka ACEZ 3/2015 </w:t>
      </w: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theme="minorBidi"/>
          <w:color w:val="auto"/>
          <w:lang w:val="sk-SK"/>
        </w:rPr>
      </w:pPr>
    </w:p>
    <w:p w:rsidR="00DA7082" w:rsidRPr="00910294" w:rsidRDefault="00DA7082" w:rsidP="00DA7082">
      <w:pPr>
        <w:pStyle w:val="Default"/>
        <w:pageBreakBefore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lastRenderedPageBreak/>
        <w:t xml:space="preserve">Skutky telesného milosrdenstva sú: </w:t>
      </w:r>
    </w:p>
    <w:p w:rsidR="00DA7082" w:rsidRPr="00910294" w:rsidRDefault="00DA7082" w:rsidP="00DA7082">
      <w:pPr>
        <w:pStyle w:val="Default"/>
        <w:spacing w:after="54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1. Dávať jesť hladným. </w:t>
      </w:r>
    </w:p>
    <w:p w:rsidR="00DA7082" w:rsidRPr="00910294" w:rsidRDefault="00DA7082" w:rsidP="00DA7082">
      <w:pPr>
        <w:pStyle w:val="Default"/>
        <w:spacing w:after="54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2. Dávať piť smädným. </w:t>
      </w:r>
    </w:p>
    <w:p w:rsidR="00DA7082" w:rsidRPr="00910294" w:rsidRDefault="00DA7082" w:rsidP="00DA7082">
      <w:pPr>
        <w:pStyle w:val="Default"/>
        <w:spacing w:after="54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3. Prichýliť pocestných. </w:t>
      </w:r>
    </w:p>
    <w:p w:rsidR="00DA7082" w:rsidRPr="00910294" w:rsidRDefault="00DA7082" w:rsidP="00DA7082">
      <w:pPr>
        <w:pStyle w:val="Default"/>
        <w:spacing w:after="54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4. Odievať nahých. </w:t>
      </w:r>
    </w:p>
    <w:p w:rsidR="00DA7082" w:rsidRPr="00910294" w:rsidRDefault="00DA7082" w:rsidP="00DA7082">
      <w:pPr>
        <w:pStyle w:val="Default"/>
        <w:spacing w:after="54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5. Navštevovať chorých. </w:t>
      </w:r>
    </w:p>
    <w:p w:rsidR="00DA7082" w:rsidRPr="00910294" w:rsidRDefault="00DA7082" w:rsidP="00DA7082">
      <w:pPr>
        <w:pStyle w:val="Default"/>
        <w:spacing w:after="54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6. Poskytovať pomoc väzňom. </w:t>
      </w:r>
    </w:p>
    <w:p w:rsidR="00DA7082" w:rsidRPr="00910294" w:rsidRDefault="00DA7082" w:rsidP="00DA7082">
      <w:pPr>
        <w:pStyle w:val="Default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7. Pochovávať mŕtvych. </w:t>
      </w: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Skutky duchovného milosrdenstva sú: </w:t>
      </w:r>
    </w:p>
    <w:p w:rsidR="00DA7082" w:rsidRPr="00910294" w:rsidRDefault="00DA7082" w:rsidP="00DA7082">
      <w:pPr>
        <w:pStyle w:val="Default"/>
        <w:spacing w:after="53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1. Napomínať hriešnikov. </w:t>
      </w:r>
    </w:p>
    <w:p w:rsidR="00DA7082" w:rsidRPr="00910294" w:rsidRDefault="00DA7082" w:rsidP="00DA7082">
      <w:pPr>
        <w:pStyle w:val="Default"/>
        <w:spacing w:after="53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2. Poúčať nevedomých. </w:t>
      </w:r>
    </w:p>
    <w:p w:rsidR="00DA7082" w:rsidRPr="00910294" w:rsidRDefault="00DA7082" w:rsidP="00DA7082">
      <w:pPr>
        <w:pStyle w:val="Default"/>
        <w:spacing w:after="53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3. Dobre radiť pochybujúcim. </w:t>
      </w:r>
    </w:p>
    <w:p w:rsidR="00DA7082" w:rsidRPr="00910294" w:rsidRDefault="00DA7082" w:rsidP="00DA7082">
      <w:pPr>
        <w:pStyle w:val="Default"/>
        <w:spacing w:after="53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4. Tešiť zarmútených. </w:t>
      </w:r>
    </w:p>
    <w:p w:rsidR="00DA7082" w:rsidRPr="00910294" w:rsidRDefault="00DA7082" w:rsidP="00DA7082">
      <w:pPr>
        <w:pStyle w:val="Default"/>
        <w:spacing w:after="53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5. Trpezlivo znášať krivdu. </w:t>
      </w:r>
    </w:p>
    <w:p w:rsidR="00DA7082" w:rsidRPr="00910294" w:rsidRDefault="00DA7082" w:rsidP="00DA7082">
      <w:pPr>
        <w:pStyle w:val="Default"/>
        <w:spacing w:after="53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6. Odpúšťať ubližujúcim. </w:t>
      </w:r>
    </w:p>
    <w:p w:rsidR="00DA7082" w:rsidRPr="00910294" w:rsidRDefault="00DA7082" w:rsidP="00DA7082">
      <w:pPr>
        <w:pStyle w:val="Default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7. Modliť sa za živých i mŕtvych. </w:t>
      </w: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IV. Jubilejné odpustky môžu získať aj väzni: </w:t>
      </w:r>
    </w:p>
    <w:p w:rsidR="00DA7082" w:rsidRPr="00910294" w:rsidRDefault="00DA7082" w:rsidP="00DA7082">
      <w:pPr>
        <w:pStyle w:val="Default"/>
        <w:spacing w:after="53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1. Vo väzenských kaplnkách. </w:t>
      </w:r>
    </w:p>
    <w:p w:rsidR="00DA7082" w:rsidRPr="00910294" w:rsidRDefault="00DA7082" w:rsidP="00DA7082">
      <w:pPr>
        <w:pStyle w:val="Default"/>
        <w:ind w:left="720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>2. Vždy, keď prejdú bránou svojej cely</w:t>
      </w:r>
      <w:bookmarkStart w:id="0" w:name="_GoBack"/>
      <w:bookmarkEnd w:id="0"/>
      <w:r w:rsidRPr="00910294">
        <w:rPr>
          <w:rFonts w:asciiTheme="minorHAnsi" w:hAnsiTheme="minorHAnsi" w:cs="Cambria"/>
          <w:color w:val="auto"/>
          <w:lang w:val="sk-SK"/>
        </w:rPr>
        <w:t xml:space="preserve"> a obrátia sa myšlienkou a modlitbou na Boha Otca. </w:t>
      </w:r>
    </w:p>
    <w:p w:rsidR="00DA7082" w:rsidRPr="00910294" w:rsidRDefault="00DA7082" w:rsidP="00DA7082">
      <w:pPr>
        <w:pStyle w:val="Default"/>
        <w:rPr>
          <w:rFonts w:asciiTheme="minorHAnsi" w:hAnsiTheme="minorHAnsi" w:cs="Cambria"/>
          <w:color w:val="auto"/>
          <w:lang w:val="sk-SK"/>
        </w:rPr>
      </w:pPr>
    </w:p>
    <w:p w:rsidR="00DA7082" w:rsidRPr="00910294" w:rsidRDefault="00DA7082" w:rsidP="00910294">
      <w:pPr>
        <w:pStyle w:val="Default"/>
        <w:jc w:val="both"/>
        <w:rPr>
          <w:rFonts w:asciiTheme="minorHAnsi" w:hAnsiTheme="minorHAnsi" w:cs="Cambria"/>
          <w:color w:val="auto"/>
          <w:lang w:val="sk-SK"/>
        </w:rPr>
      </w:pPr>
      <w:r w:rsidRPr="00910294">
        <w:rPr>
          <w:rFonts w:asciiTheme="minorHAnsi" w:hAnsiTheme="minorHAnsi" w:cs="Cambria"/>
          <w:color w:val="auto"/>
          <w:lang w:val="sk-SK"/>
        </w:rPr>
        <w:t xml:space="preserve">V. V mimoriadnom Svätom roku milosrdenstva možno privlastniť odpustky aj zosnulým, a to prostredníctvom obety svätej omše a modlitby za zosnulých. </w:t>
      </w:r>
    </w:p>
    <w:p w:rsidR="00DA7082" w:rsidRPr="00910294" w:rsidRDefault="00DA7082" w:rsidP="00DA7082">
      <w:pPr>
        <w:rPr>
          <w:rFonts w:cs="Cambria"/>
          <w:sz w:val="24"/>
          <w:szCs w:val="24"/>
          <w:lang w:val="sk-SK"/>
        </w:rPr>
      </w:pPr>
    </w:p>
    <w:p w:rsidR="00DA7082" w:rsidRPr="00910294" w:rsidRDefault="00DA7082" w:rsidP="00DA7082">
      <w:pPr>
        <w:rPr>
          <w:rFonts w:cs="Cambria"/>
          <w:sz w:val="24"/>
          <w:szCs w:val="24"/>
          <w:lang w:val="sk-SK"/>
        </w:rPr>
      </w:pPr>
    </w:p>
    <w:p w:rsidR="00E77B03" w:rsidRPr="00910294" w:rsidRDefault="00DA7082" w:rsidP="00910294">
      <w:pPr>
        <w:jc w:val="both"/>
        <w:rPr>
          <w:sz w:val="24"/>
          <w:szCs w:val="24"/>
          <w:lang w:val="sk-SK"/>
        </w:rPr>
      </w:pPr>
      <w:r w:rsidRPr="00910294">
        <w:rPr>
          <w:rFonts w:cs="Cambria"/>
          <w:sz w:val="24"/>
          <w:szCs w:val="24"/>
          <w:lang w:val="sk-SK"/>
        </w:rPr>
        <w:t xml:space="preserve">(Spracované podľa </w:t>
      </w:r>
      <w:r w:rsidRPr="00910294">
        <w:rPr>
          <w:rFonts w:cs="Cambria"/>
          <w:i/>
          <w:iCs/>
          <w:sz w:val="24"/>
          <w:szCs w:val="24"/>
          <w:lang w:val="sk-SK"/>
        </w:rPr>
        <w:t>Listu Svätého Otca Františka, ktorým sa udeľujú odpustky pri príležitosti mimoriadneho Svätého roku milosrdenstva</w:t>
      </w:r>
      <w:r w:rsidRPr="00910294">
        <w:rPr>
          <w:rFonts w:cs="Cambria"/>
          <w:sz w:val="24"/>
          <w:szCs w:val="24"/>
          <w:lang w:val="sk-SK"/>
        </w:rPr>
        <w:t>, Vatikán 1. septembra 2015)</w:t>
      </w:r>
    </w:p>
    <w:sectPr w:rsidR="00E77B03" w:rsidRPr="00910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82"/>
    <w:rsid w:val="002E76D0"/>
    <w:rsid w:val="00910294"/>
    <w:rsid w:val="00DA7082"/>
    <w:rsid w:val="00E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48DE-B8DC-4FDE-9EF4-18814FF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708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Antonicova, Jarmila</dc:creator>
  <cp:keywords/>
  <dc:description/>
  <cp:lastModifiedBy>PC_Toshiba TIBOR</cp:lastModifiedBy>
  <cp:revision>2</cp:revision>
  <dcterms:created xsi:type="dcterms:W3CDTF">2016-05-25T11:12:00Z</dcterms:created>
  <dcterms:modified xsi:type="dcterms:W3CDTF">2016-05-25T11:12:00Z</dcterms:modified>
</cp:coreProperties>
</file>